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6"/>
        <w:gridCol w:w="5321"/>
        <w:gridCol w:w="3922"/>
      </w:tblGrid>
      <w:tr w:rsidR="0051349C" w:rsidRPr="00485870" w:rsidTr="00AD5629">
        <w:trPr>
          <w:cantSplit/>
          <w:trHeight w:val="461"/>
          <w:tblHeader/>
          <w:jc w:val="center"/>
        </w:trPr>
        <w:tc>
          <w:tcPr>
            <w:tcW w:w="9849" w:type="dxa"/>
            <w:gridSpan w:val="3"/>
            <w:tcBorders>
              <w:top w:val="nil"/>
              <w:left w:val="nil"/>
              <w:bottom w:val="single" w:sz="4" w:space="0" w:color="auto"/>
              <w:right w:val="nil"/>
            </w:tcBorders>
            <w:vAlign w:val="center"/>
          </w:tcPr>
          <w:p w:rsidR="00991046" w:rsidRPr="00485870" w:rsidRDefault="00991046" w:rsidP="00991046">
            <w:pPr>
              <w:spacing w:before="60" w:after="60"/>
              <w:jc w:val="center"/>
              <w:rPr>
                <w:rFonts w:ascii="標楷體" w:eastAsia="標楷體" w:hAnsi="標楷體"/>
                <w:spacing w:val="120"/>
                <w:sz w:val="28"/>
                <w:u w:val="words"/>
              </w:rPr>
            </w:pPr>
            <w:bookmarkStart w:id="0" w:name="_GoBack"/>
            <w:bookmarkEnd w:id="0"/>
            <w:r w:rsidRPr="00485870">
              <w:rPr>
                <w:rFonts w:ascii="標楷體" w:eastAsia="標楷體" w:hAnsi="標楷體" w:hint="eastAsia"/>
                <w:b/>
                <w:spacing w:val="-8"/>
                <w:sz w:val="28"/>
                <w:szCs w:val="28"/>
                <w:u w:val="single"/>
              </w:rPr>
              <w:t>國立臺灣大學附設醫院作業基金</w:t>
            </w:r>
            <w:r>
              <w:rPr>
                <w:rFonts w:ascii="標楷體" w:eastAsia="標楷體" w:hAnsi="標楷體" w:hint="eastAsia"/>
                <w:b/>
                <w:spacing w:val="-8"/>
                <w:sz w:val="28"/>
                <w:szCs w:val="28"/>
                <w:u w:val="single"/>
              </w:rPr>
              <w:t>(個別)</w:t>
            </w:r>
          </w:p>
          <w:p w:rsidR="0051349C" w:rsidRPr="00485870" w:rsidRDefault="0051349C" w:rsidP="0051349C">
            <w:pPr>
              <w:pStyle w:val="ab"/>
              <w:spacing w:line="0" w:lineRule="atLeast"/>
              <w:jc w:val="center"/>
              <w:rPr>
                <w:rFonts w:ascii="標楷體" w:eastAsia="標楷體" w:hAnsi="標楷體"/>
                <w:b/>
                <w:spacing w:val="-8"/>
                <w:sz w:val="28"/>
                <w:szCs w:val="28"/>
              </w:rPr>
            </w:pPr>
            <w:r w:rsidRPr="00485870">
              <w:rPr>
                <w:rFonts w:ascii="標楷體" w:eastAsia="標楷體" w:hAnsi="標楷體" w:hint="eastAsia"/>
                <w:b/>
                <w:spacing w:val="-8"/>
                <w:sz w:val="28"/>
                <w:szCs w:val="28"/>
              </w:rPr>
              <w:t>立法院審議中央政府總預算案附屬單位預算所提決議及附帶決議辦理情形報告表</w:t>
            </w:r>
          </w:p>
          <w:p w:rsidR="0051349C" w:rsidRPr="00485870" w:rsidRDefault="0051349C" w:rsidP="00975DB5">
            <w:pPr>
              <w:spacing w:line="0" w:lineRule="atLeast"/>
              <w:jc w:val="center"/>
              <w:rPr>
                <w:rFonts w:ascii="標楷體" w:eastAsia="標楷體" w:hAnsi="標楷體"/>
              </w:rPr>
            </w:pPr>
            <w:r w:rsidRPr="00485870">
              <w:rPr>
                <w:rFonts w:ascii="標楷體" w:eastAsia="標楷體" w:hAnsi="標楷體" w:hint="eastAsia"/>
              </w:rPr>
              <w:t>中華民國</w:t>
            </w:r>
            <w:proofErr w:type="gramStart"/>
            <w:r w:rsidR="00FD10AA" w:rsidRPr="00485870">
              <w:rPr>
                <w:rFonts w:ascii="標楷體" w:eastAsia="標楷體" w:hAnsi="標楷體" w:hint="eastAsia"/>
              </w:rPr>
              <w:t>10</w:t>
            </w:r>
            <w:r w:rsidR="00975DB5">
              <w:rPr>
                <w:rFonts w:ascii="標楷體" w:eastAsia="標楷體" w:hAnsi="標楷體"/>
              </w:rPr>
              <w:t>9</w:t>
            </w:r>
            <w:proofErr w:type="gramEnd"/>
            <w:r w:rsidRPr="00485870">
              <w:rPr>
                <w:rFonts w:ascii="標楷體" w:eastAsia="標楷體" w:hAnsi="標楷體" w:hint="eastAsia"/>
              </w:rPr>
              <w:t>年度</w:t>
            </w:r>
          </w:p>
        </w:tc>
      </w:tr>
      <w:tr w:rsidR="002A1DC2" w:rsidRPr="00485870" w:rsidTr="00AD5629">
        <w:trPr>
          <w:cantSplit/>
          <w:trHeight w:val="461"/>
          <w:tblHeader/>
          <w:jc w:val="center"/>
        </w:trPr>
        <w:tc>
          <w:tcPr>
            <w:tcW w:w="5927" w:type="dxa"/>
            <w:gridSpan w:val="2"/>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決議及附帶決議</w:t>
            </w:r>
          </w:p>
        </w:tc>
        <w:tc>
          <w:tcPr>
            <w:tcW w:w="3922" w:type="dxa"/>
            <w:vMerge w:val="restart"/>
            <w:tcBorders>
              <w:top w:val="single" w:sz="4" w:space="0" w:color="auto"/>
              <w:left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辦理情形</w:t>
            </w:r>
          </w:p>
        </w:tc>
      </w:tr>
      <w:tr w:rsidR="002A1DC2" w:rsidRPr="00485870" w:rsidTr="00AD5629">
        <w:trPr>
          <w:cantSplit/>
          <w:trHeight w:val="420"/>
          <w:tblHeader/>
          <w:jc w:val="center"/>
        </w:trPr>
        <w:tc>
          <w:tcPr>
            <w:tcW w:w="606" w:type="dxa"/>
            <w:tcBorders>
              <w:top w:val="single" w:sz="4" w:space="0" w:color="auto"/>
              <w:left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項次</w:t>
            </w:r>
          </w:p>
        </w:tc>
        <w:tc>
          <w:tcPr>
            <w:tcW w:w="5321" w:type="dxa"/>
            <w:tcBorders>
              <w:top w:val="single" w:sz="4" w:space="0" w:color="auto"/>
              <w:bottom w:val="single" w:sz="4" w:space="0" w:color="auto"/>
            </w:tcBorders>
            <w:vAlign w:val="center"/>
          </w:tcPr>
          <w:p w:rsidR="002A1DC2" w:rsidRPr="00485870" w:rsidRDefault="002A1DC2" w:rsidP="004906E7">
            <w:pPr>
              <w:spacing w:line="0" w:lineRule="atLeast"/>
              <w:jc w:val="distribute"/>
              <w:rPr>
                <w:rFonts w:ascii="標楷體" w:eastAsia="標楷體" w:hAnsi="標楷體"/>
              </w:rPr>
            </w:pPr>
            <w:r w:rsidRPr="00485870">
              <w:rPr>
                <w:rFonts w:ascii="標楷體" w:eastAsia="標楷體" w:hAnsi="標楷體" w:hint="eastAsia"/>
              </w:rPr>
              <w:t>內容</w:t>
            </w:r>
          </w:p>
        </w:tc>
        <w:tc>
          <w:tcPr>
            <w:tcW w:w="3922" w:type="dxa"/>
            <w:vMerge/>
            <w:tcBorders>
              <w:top w:val="single" w:sz="4" w:space="0" w:color="auto"/>
              <w:bottom w:val="single" w:sz="4" w:space="0" w:color="auto"/>
              <w:right w:val="single" w:sz="4" w:space="0" w:color="auto"/>
            </w:tcBorders>
            <w:vAlign w:val="center"/>
          </w:tcPr>
          <w:p w:rsidR="002A1DC2" w:rsidRPr="00485870" w:rsidRDefault="002A1DC2" w:rsidP="004906E7">
            <w:pPr>
              <w:spacing w:line="0" w:lineRule="atLeast"/>
              <w:jc w:val="distribute"/>
              <w:rPr>
                <w:rFonts w:ascii="標楷體" w:eastAsia="標楷體" w:hAnsi="標楷體"/>
              </w:rPr>
            </w:pPr>
          </w:p>
        </w:tc>
      </w:tr>
      <w:tr w:rsidR="00273A1A" w:rsidRPr="00485870" w:rsidTr="00AD5629">
        <w:trPr>
          <w:cantSplit/>
          <w:trHeight w:val="425"/>
          <w:jc w:val="center"/>
        </w:trPr>
        <w:tc>
          <w:tcPr>
            <w:tcW w:w="5927" w:type="dxa"/>
            <w:gridSpan w:val="2"/>
            <w:tcBorders>
              <w:top w:val="single" w:sz="4" w:space="0" w:color="auto"/>
              <w:left w:val="single" w:sz="4" w:space="0" w:color="auto"/>
              <w:bottom w:val="single" w:sz="4" w:space="0" w:color="auto"/>
            </w:tcBorders>
            <w:vAlign w:val="center"/>
          </w:tcPr>
          <w:p w:rsidR="00273A1A" w:rsidRPr="003E02BF" w:rsidRDefault="00273A1A" w:rsidP="00273A1A">
            <w:pPr>
              <w:adjustRightInd/>
              <w:spacing w:line="0" w:lineRule="atLeast"/>
              <w:jc w:val="both"/>
              <w:textAlignment w:val="auto"/>
              <w:rPr>
                <w:rFonts w:ascii="標楷體" w:eastAsia="標楷體" w:hAnsi="標楷體"/>
                <w:b/>
                <w:szCs w:val="24"/>
              </w:rPr>
            </w:pPr>
            <w:r w:rsidRPr="003E02BF">
              <w:rPr>
                <w:rFonts w:ascii="標楷體" w:eastAsia="標楷體" w:hAnsi="標楷體" w:hint="eastAsia"/>
                <w:b/>
                <w:szCs w:val="24"/>
              </w:rPr>
              <w:t>一、通案決議部分：</w:t>
            </w:r>
          </w:p>
        </w:tc>
        <w:tc>
          <w:tcPr>
            <w:tcW w:w="3922" w:type="dxa"/>
            <w:tcBorders>
              <w:top w:val="single" w:sz="4" w:space="0" w:color="auto"/>
              <w:bottom w:val="single" w:sz="4" w:space="0" w:color="auto"/>
              <w:right w:val="single" w:sz="4" w:space="0" w:color="auto"/>
            </w:tcBorders>
            <w:vAlign w:val="center"/>
          </w:tcPr>
          <w:p w:rsidR="00273A1A" w:rsidRPr="003E02BF" w:rsidRDefault="00273A1A" w:rsidP="00EA23A0">
            <w:pPr>
              <w:spacing w:line="0" w:lineRule="atLeast"/>
              <w:jc w:val="both"/>
              <w:textAlignment w:val="top"/>
              <w:rPr>
                <w:rFonts w:ascii="標楷體" w:eastAsia="標楷體" w:hAnsi="標楷體"/>
                <w:szCs w:val="24"/>
              </w:rPr>
            </w:pPr>
          </w:p>
        </w:tc>
      </w:tr>
      <w:tr w:rsidR="00D113A5" w:rsidRPr="00485870" w:rsidTr="00AD5629">
        <w:trPr>
          <w:cantSplit/>
          <w:trHeight w:val="2603"/>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1.</w:t>
            </w:r>
          </w:p>
        </w:tc>
        <w:tc>
          <w:tcPr>
            <w:tcW w:w="5321" w:type="dxa"/>
            <w:tcBorders>
              <w:top w:val="single" w:sz="4" w:space="0" w:color="auto"/>
              <w:bottom w:val="single" w:sz="4" w:space="0" w:color="auto"/>
            </w:tcBorders>
          </w:tcPr>
          <w:p w:rsidR="00D113A5" w:rsidRDefault="00D113A5" w:rsidP="00C77453">
            <w:pPr>
              <w:spacing w:line="360" w:lineRule="exact"/>
              <w:jc w:val="both"/>
              <w:rPr>
                <w:rFonts w:eastAsia="標楷體"/>
                <w:szCs w:val="24"/>
              </w:rPr>
            </w:pPr>
            <w:r>
              <w:rPr>
                <w:rFonts w:eastAsia="標楷體" w:hint="eastAsia"/>
                <w:szCs w:val="24"/>
              </w:rPr>
              <w:t xml:space="preserve">    </w:t>
            </w:r>
            <w:r w:rsidRPr="00C77453">
              <w:rPr>
                <w:rFonts w:ascii="標楷體" w:eastAsia="標楷體" w:hAnsi="標楷體" w:hint="eastAsia"/>
                <w:szCs w:val="24"/>
              </w:rPr>
              <w:t>中華民國</w:t>
            </w:r>
            <w:proofErr w:type="gramStart"/>
            <w:r w:rsidRPr="00C77453">
              <w:rPr>
                <w:rFonts w:ascii="標楷體" w:eastAsia="標楷體" w:hAnsi="標楷體" w:hint="eastAsia"/>
                <w:szCs w:val="24"/>
              </w:rPr>
              <w:t>109</w:t>
            </w:r>
            <w:proofErr w:type="gramEnd"/>
            <w:r w:rsidRPr="00C77453">
              <w:rPr>
                <w:rFonts w:ascii="標楷體" w:eastAsia="標楷體" w:hAnsi="標楷體" w:hint="eastAsia"/>
                <w:szCs w:val="24"/>
              </w:rPr>
              <w:t>年度中央政府總預算案附屬單位預算營業及非營業部分審查總報告所列未送院會處理項目，除確有窒礙難行者再協商，依協商結論通過外，其餘</w:t>
            </w:r>
            <w:proofErr w:type="gramStart"/>
            <w:r w:rsidRPr="00C77453">
              <w:rPr>
                <w:rFonts w:ascii="標楷體" w:eastAsia="標楷體" w:hAnsi="標楷體" w:hint="eastAsia"/>
                <w:szCs w:val="24"/>
              </w:rPr>
              <w:t>均照各</w:t>
            </w:r>
            <w:proofErr w:type="gramEnd"/>
            <w:r w:rsidRPr="00C77453">
              <w:rPr>
                <w:rFonts w:ascii="標楷體" w:eastAsia="標楷體" w:hAnsi="標楷體" w:hint="eastAsia"/>
                <w:szCs w:val="24"/>
              </w:rPr>
              <w:t>委員會審查會議決議通過。至送院會處理項目，協商有結論者，依協商結論通過；協商未獲結論者，交付表決，並依表決結果通過；另黨團協商之凍結內容經</w:t>
            </w:r>
            <w:proofErr w:type="gramStart"/>
            <w:r w:rsidRPr="00C77453">
              <w:rPr>
                <w:rFonts w:ascii="標楷體" w:eastAsia="標楷體" w:hAnsi="標楷體" w:hint="eastAsia"/>
                <w:szCs w:val="24"/>
              </w:rPr>
              <w:t>併</w:t>
            </w:r>
            <w:proofErr w:type="gramEnd"/>
            <w:r w:rsidRPr="00C77453">
              <w:rPr>
                <w:rFonts w:ascii="標楷體" w:eastAsia="標楷體" w:hAnsi="標楷體" w:hint="eastAsia"/>
                <w:szCs w:val="24"/>
              </w:rPr>
              <w:t>委員會凍結案處理，依協商結論通過者，均不再於宣讀本中一一敘明。</w:t>
            </w:r>
          </w:p>
        </w:tc>
        <w:tc>
          <w:tcPr>
            <w:tcW w:w="3922" w:type="dxa"/>
            <w:tcBorders>
              <w:top w:val="single" w:sz="4" w:space="0" w:color="auto"/>
              <w:bottom w:val="single" w:sz="4" w:space="0" w:color="auto"/>
              <w:right w:val="single" w:sz="4" w:space="0" w:color="auto"/>
            </w:tcBorders>
          </w:tcPr>
          <w:p w:rsidR="00D113A5" w:rsidRPr="00CE28DF" w:rsidRDefault="00AD5629" w:rsidP="00D113A5">
            <w:pPr>
              <w:jc w:val="both"/>
              <w:rPr>
                <w:rFonts w:eastAsia="標楷體"/>
                <w:szCs w:val="24"/>
              </w:rPr>
            </w:pPr>
            <w:r w:rsidRPr="00CE28DF">
              <w:rPr>
                <w:rFonts w:eastAsia="標楷體" w:hint="eastAsia"/>
                <w:szCs w:val="24"/>
              </w:rPr>
              <w:t>配合決議事項辦理。</w:t>
            </w:r>
          </w:p>
        </w:tc>
      </w:tr>
      <w:tr w:rsidR="00D113A5" w:rsidRPr="00485870" w:rsidTr="00AD5629">
        <w:trPr>
          <w:cantSplit/>
          <w:trHeight w:val="1975"/>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2.</w:t>
            </w:r>
          </w:p>
        </w:tc>
        <w:tc>
          <w:tcPr>
            <w:tcW w:w="5321" w:type="dxa"/>
            <w:tcBorders>
              <w:top w:val="single" w:sz="4" w:space="0" w:color="auto"/>
              <w:bottom w:val="single" w:sz="4" w:space="0" w:color="auto"/>
            </w:tcBorders>
          </w:tcPr>
          <w:p w:rsidR="00D113A5" w:rsidRDefault="00D113A5" w:rsidP="00C77453">
            <w:pPr>
              <w:spacing w:line="360" w:lineRule="exact"/>
              <w:jc w:val="both"/>
              <w:rPr>
                <w:rFonts w:eastAsia="標楷體"/>
                <w:szCs w:val="24"/>
              </w:rPr>
            </w:pPr>
            <w:r>
              <w:rPr>
                <w:rFonts w:eastAsia="標楷體" w:hint="eastAsia"/>
                <w:szCs w:val="24"/>
              </w:rPr>
              <w:t xml:space="preserve">    </w:t>
            </w:r>
            <w:r w:rsidRPr="00C77453">
              <w:rPr>
                <w:rFonts w:ascii="標楷體" w:eastAsia="標楷體" w:hAnsi="標楷體" w:hint="eastAsia"/>
                <w:szCs w:val="24"/>
              </w:rPr>
              <w:t>各委員會審查結果協商結論，</w:t>
            </w:r>
            <w:proofErr w:type="gramStart"/>
            <w:r w:rsidRPr="00C77453">
              <w:rPr>
                <w:rFonts w:ascii="標楷體" w:eastAsia="標楷體" w:hAnsi="標楷體" w:hint="eastAsia"/>
                <w:szCs w:val="24"/>
              </w:rPr>
              <w:t>均應依通</w:t>
            </w:r>
            <w:proofErr w:type="gramEnd"/>
            <w:r w:rsidRPr="00C77453">
              <w:rPr>
                <w:rFonts w:ascii="標楷體" w:eastAsia="標楷體" w:hAnsi="標楷體" w:hint="eastAsia"/>
                <w:szCs w:val="24"/>
              </w:rPr>
              <w:t>案決議辦理，不再逐一於各單位協商結果敘明。各單位</w:t>
            </w:r>
            <w:proofErr w:type="gramStart"/>
            <w:r w:rsidRPr="00C77453">
              <w:rPr>
                <w:rFonts w:ascii="標楷體" w:eastAsia="標楷體" w:hAnsi="標楷體" w:hint="eastAsia"/>
                <w:szCs w:val="24"/>
              </w:rPr>
              <w:t>均應切實依通</w:t>
            </w:r>
            <w:proofErr w:type="gramEnd"/>
            <w:r w:rsidRPr="00C77453">
              <w:rPr>
                <w:rFonts w:ascii="標楷體" w:eastAsia="標楷體" w:hAnsi="標楷體" w:hint="eastAsia"/>
                <w:szCs w:val="24"/>
              </w:rPr>
              <w:t>案決議核實分別刪減，惟各委員會審查刪減數</w:t>
            </w:r>
            <w:proofErr w:type="gramStart"/>
            <w:r w:rsidRPr="00C77453">
              <w:rPr>
                <w:rFonts w:ascii="標楷體" w:eastAsia="標楷體" w:hAnsi="標楷體" w:hint="eastAsia"/>
                <w:szCs w:val="24"/>
              </w:rPr>
              <w:t>如逾通案</w:t>
            </w:r>
            <w:proofErr w:type="gramEnd"/>
            <w:r w:rsidRPr="00C77453">
              <w:rPr>
                <w:rFonts w:ascii="標楷體" w:eastAsia="標楷體" w:hAnsi="標楷體" w:hint="eastAsia"/>
                <w:szCs w:val="24"/>
              </w:rPr>
              <w:t>決議刪減比例，以各委員會審查刪減數為</w:t>
            </w:r>
            <w:proofErr w:type="gramStart"/>
            <w:r w:rsidRPr="00C77453">
              <w:rPr>
                <w:rFonts w:ascii="標楷體" w:eastAsia="標楷體" w:hAnsi="標楷體" w:hint="eastAsia"/>
                <w:szCs w:val="24"/>
              </w:rPr>
              <w:t>準</w:t>
            </w:r>
            <w:proofErr w:type="gramEnd"/>
            <w:r w:rsidRPr="00C77453">
              <w:rPr>
                <w:rFonts w:ascii="標楷體" w:eastAsia="標楷體" w:hAnsi="標楷體" w:hint="eastAsia"/>
                <w:szCs w:val="24"/>
              </w:rPr>
              <w:t>；</w:t>
            </w:r>
            <w:proofErr w:type="gramStart"/>
            <w:r w:rsidRPr="00C77453">
              <w:rPr>
                <w:rFonts w:ascii="標楷體" w:eastAsia="標楷體" w:hAnsi="標楷體" w:hint="eastAsia"/>
                <w:szCs w:val="24"/>
              </w:rPr>
              <w:t>未達通案</w:t>
            </w:r>
            <w:proofErr w:type="gramEnd"/>
            <w:r w:rsidRPr="00C77453">
              <w:rPr>
                <w:rFonts w:ascii="標楷體" w:eastAsia="標楷體" w:hAnsi="標楷體" w:hint="eastAsia"/>
                <w:szCs w:val="24"/>
              </w:rPr>
              <w:t>決議刪減比例，則增加減列不足之數。</w:t>
            </w:r>
          </w:p>
        </w:tc>
        <w:tc>
          <w:tcPr>
            <w:tcW w:w="3922" w:type="dxa"/>
            <w:tcBorders>
              <w:top w:val="single" w:sz="4" w:space="0" w:color="auto"/>
              <w:bottom w:val="single" w:sz="4" w:space="0" w:color="auto"/>
              <w:right w:val="single" w:sz="4" w:space="0" w:color="auto"/>
            </w:tcBorders>
          </w:tcPr>
          <w:p w:rsidR="00D113A5" w:rsidRPr="00CE28DF" w:rsidRDefault="00AD5629" w:rsidP="00D113A5">
            <w:pPr>
              <w:jc w:val="both"/>
              <w:rPr>
                <w:rFonts w:eastAsia="標楷體"/>
                <w:szCs w:val="24"/>
              </w:rPr>
            </w:pPr>
            <w:r w:rsidRPr="00CE28DF">
              <w:rPr>
                <w:rFonts w:eastAsia="標楷體" w:hint="eastAsia"/>
                <w:szCs w:val="24"/>
              </w:rPr>
              <w:t>配合決議事項辦理。</w:t>
            </w:r>
          </w:p>
        </w:tc>
      </w:tr>
      <w:tr w:rsidR="00D113A5" w:rsidRPr="00485870" w:rsidTr="00AD5629">
        <w:trPr>
          <w:trHeight w:val="3171"/>
          <w:jc w:val="center"/>
        </w:trPr>
        <w:tc>
          <w:tcPr>
            <w:tcW w:w="606" w:type="dxa"/>
            <w:tcBorders>
              <w:top w:val="single" w:sz="4" w:space="0" w:color="auto"/>
              <w:left w:val="single" w:sz="4" w:space="0" w:color="auto"/>
              <w:bottom w:val="single" w:sz="4" w:space="0" w:color="auto"/>
            </w:tcBorders>
          </w:tcPr>
          <w:p w:rsidR="00D113A5" w:rsidRPr="000B6B6F" w:rsidRDefault="00D113A5" w:rsidP="00D113A5">
            <w:pPr>
              <w:jc w:val="center"/>
              <w:rPr>
                <w:rFonts w:eastAsia="標楷體"/>
                <w:szCs w:val="24"/>
              </w:rPr>
            </w:pPr>
            <w:r>
              <w:rPr>
                <w:rFonts w:eastAsia="標楷體" w:hint="eastAsia"/>
                <w:szCs w:val="24"/>
              </w:rPr>
              <w:t>3</w:t>
            </w:r>
            <w:r w:rsidRPr="000B6B6F">
              <w:rPr>
                <w:rFonts w:eastAsia="標楷體" w:hint="eastAsia"/>
                <w:szCs w:val="24"/>
              </w:rPr>
              <w:t>.</w:t>
            </w:r>
          </w:p>
        </w:tc>
        <w:tc>
          <w:tcPr>
            <w:tcW w:w="5321" w:type="dxa"/>
            <w:tcBorders>
              <w:top w:val="single" w:sz="4" w:space="0" w:color="auto"/>
              <w:bottom w:val="single" w:sz="4" w:space="0" w:color="auto"/>
            </w:tcBorders>
          </w:tcPr>
          <w:p w:rsidR="00D113A5" w:rsidRPr="00CC6697" w:rsidRDefault="00D113A5" w:rsidP="00C77453">
            <w:pPr>
              <w:spacing w:line="360" w:lineRule="exact"/>
              <w:jc w:val="both"/>
              <w:rPr>
                <w:rFonts w:ascii="標楷體" w:eastAsia="標楷體" w:hAnsi="標楷體"/>
                <w:szCs w:val="24"/>
              </w:rPr>
            </w:pPr>
            <w:r>
              <w:rPr>
                <w:rFonts w:eastAsia="標楷體" w:hint="eastAsia"/>
                <w:szCs w:val="24"/>
              </w:rPr>
              <w:t xml:space="preserve">    </w:t>
            </w:r>
            <w:proofErr w:type="gramStart"/>
            <w:r w:rsidRPr="00C77453">
              <w:rPr>
                <w:rFonts w:ascii="標楷體" w:eastAsia="標楷體" w:hAnsi="標楷體" w:hint="eastAsia"/>
                <w:szCs w:val="24"/>
              </w:rPr>
              <w:t>鑑</w:t>
            </w:r>
            <w:proofErr w:type="gramEnd"/>
            <w:r w:rsidRPr="00C77453">
              <w:rPr>
                <w:rFonts w:ascii="標楷體" w:eastAsia="標楷體" w:hAnsi="標楷體" w:hint="eastAsia"/>
                <w:szCs w:val="24"/>
              </w:rPr>
              <w:t>於嚴重特殊傳染性肺炎全球</w:t>
            </w:r>
            <w:proofErr w:type="gramStart"/>
            <w:r w:rsidRPr="00C77453">
              <w:rPr>
                <w:rFonts w:ascii="標楷體" w:eastAsia="標楷體" w:hAnsi="標楷體" w:hint="eastAsia"/>
                <w:szCs w:val="24"/>
              </w:rPr>
              <w:t>疫</w:t>
            </w:r>
            <w:proofErr w:type="gramEnd"/>
            <w:r w:rsidRPr="00C77453">
              <w:rPr>
                <w:rFonts w:ascii="標楷體" w:eastAsia="標楷體" w:hAnsi="標楷體" w:hint="eastAsia"/>
                <w:szCs w:val="24"/>
              </w:rPr>
              <w:t>情持續發展，國際間之各類活動銳減，航空客運亦多數暫停。</w:t>
            </w:r>
            <w:proofErr w:type="gramStart"/>
            <w:r w:rsidRPr="00C77453">
              <w:rPr>
                <w:rFonts w:ascii="標楷體" w:eastAsia="標楷體" w:hAnsi="標楷體" w:hint="eastAsia"/>
                <w:szCs w:val="24"/>
              </w:rPr>
              <w:t>爰</w:t>
            </w:r>
            <w:proofErr w:type="gramEnd"/>
            <w:r w:rsidRPr="00C77453">
              <w:rPr>
                <w:rFonts w:ascii="標楷體" w:eastAsia="標楷體" w:hAnsi="標楷體" w:hint="eastAsia"/>
                <w:szCs w:val="24"/>
              </w:rPr>
              <w:t>要求109 年度中央政府總預算案附屬單位預算營業及非營業特種基金，除國家發展委員會及文化部主管（管理）之基金外；行政院農業委員會、教育部、</w:t>
            </w:r>
            <w:proofErr w:type="gramStart"/>
            <w:r w:rsidRPr="00C77453">
              <w:rPr>
                <w:rFonts w:ascii="標楷體" w:eastAsia="標楷體" w:hAnsi="標楷體" w:hint="eastAsia"/>
                <w:szCs w:val="24"/>
              </w:rPr>
              <w:t>科技部及行政院</w:t>
            </w:r>
            <w:proofErr w:type="gramEnd"/>
            <w:r w:rsidRPr="00C77453">
              <w:rPr>
                <w:rFonts w:ascii="標楷體" w:eastAsia="標楷體" w:hAnsi="標楷體" w:hint="eastAsia"/>
                <w:szCs w:val="24"/>
              </w:rPr>
              <w:t>環境保護署主管（管理）基金編列之「大陸地區旅費」及「國外旅費」減列15%，其餘附屬單位預算營業及非營業特種基金編列之「大陸地區旅費」及「國外旅費」，</w:t>
            </w:r>
            <w:proofErr w:type="gramStart"/>
            <w:r w:rsidRPr="00C77453">
              <w:rPr>
                <w:rFonts w:ascii="標楷體" w:eastAsia="標楷體" w:hAnsi="標楷體" w:hint="eastAsia"/>
                <w:szCs w:val="24"/>
              </w:rPr>
              <w:t>均減列</w:t>
            </w:r>
            <w:proofErr w:type="gramEnd"/>
            <w:r w:rsidRPr="00C77453">
              <w:rPr>
                <w:rFonts w:ascii="標楷體" w:eastAsia="標楷體" w:hAnsi="標楷體" w:hint="eastAsia"/>
                <w:szCs w:val="24"/>
              </w:rPr>
              <w:t>30%。</w:t>
            </w:r>
          </w:p>
        </w:tc>
        <w:tc>
          <w:tcPr>
            <w:tcW w:w="3922" w:type="dxa"/>
            <w:tcBorders>
              <w:top w:val="single" w:sz="4" w:space="0" w:color="auto"/>
              <w:bottom w:val="single" w:sz="4" w:space="0" w:color="auto"/>
              <w:right w:val="single" w:sz="4" w:space="0" w:color="auto"/>
            </w:tcBorders>
          </w:tcPr>
          <w:p w:rsidR="00D113A5" w:rsidRPr="000B6B6F" w:rsidRDefault="00D113A5" w:rsidP="00D113A5">
            <w:pPr>
              <w:jc w:val="both"/>
              <w:rPr>
                <w:rFonts w:eastAsia="標楷體"/>
                <w:szCs w:val="24"/>
              </w:rPr>
            </w:pPr>
            <w:r w:rsidRPr="00CE28DF">
              <w:rPr>
                <w:rFonts w:eastAsia="標楷體" w:hint="eastAsia"/>
                <w:szCs w:val="24"/>
              </w:rPr>
              <w:t>配合決議事項辦理。</w:t>
            </w:r>
          </w:p>
        </w:tc>
      </w:tr>
      <w:tr w:rsidR="00D113A5" w:rsidRPr="00485870" w:rsidTr="000052F2">
        <w:trPr>
          <w:trHeight w:val="2044"/>
          <w:jc w:val="center"/>
        </w:trPr>
        <w:tc>
          <w:tcPr>
            <w:tcW w:w="606" w:type="dxa"/>
            <w:tcBorders>
              <w:top w:val="single" w:sz="4" w:space="0" w:color="auto"/>
              <w:left w:val="single" w:sz="4" w:space="0" w:color="auto"/>
              <w:bottom w:val="single" w:sz="4" w:space="0" w:color="auto"/>
            </w:tcBorders>
          </w:tcPr>
          <w:p w:rsidR="00D113A5" w:rsidRDefault="00D113A5" w:rsidP="00D113A5">
            <w:pPr>
              <w:jc w:val="center"/>
              <w:rPr>
                <w:rFonts w:eastAsia="標楷體"/>
                <w:szCs w:val="24"/>
              </w:rPr>
            </w:pPr>
            <w:r>
              <w:rPr>
                <w:rFonts w:eastAsia="標楷體" w:hint="eastAsia"/>
                <w:szCs w:val="24"/>
              </w:rPr>
              <w:t>4.</w:t>
            </w:r>
          </w:p>
        </w:tc>
        <w:tc>
          <w:tcPr>
            <w:tcW w:w="5321" w:type="dxa"/>
            <w:tcBorders>
              <w:top w:val="single" w:sz="4" w:space="0" w:color="auto"/>
              <w:bottom w:val="single" w:sz="4" w:space="0" w:color="auto"/>
            </w:tcBorders>
          </w:tcPr>
          <w:p w:rsidR="00D113A5" w:rsidRPr="00C77453" w:rsidRDefault="00D113A5" w:rsidP="00C77453">
            <w:pPr>
              <w:spacing w:line="360" w:lineRule="exact"/>
              <w:jc w:val="both"/>
              <w:rPr>
                <w:rFonts w:ascii="標楷體" w:eastAsia="標楷體" w:hAnsi="標楷體"/>
                <w:szCs w:val="24"/>
              </w:rPr>
            </w:pPr>
            <w:r w:rsidRPr="00C77453">
              <w:rPr>
                <w:rFonts w:ascii="標楷體" w:eastAsia="標楷體" w:hAnsi="標楷體" w:hint="eastAsia"/>
                <w:szCs w:val="24"/>
              </w:rPr>
              <w:t xml:space="preserve">    109 年度中央政府總預算案附屬單位預算國營事業編列「固定資產建設、改良、擴充計畫」2,855 億元，主要投資項目包括電源開發及電力擴充、石油煉製及天然氣產能擴充、擴建供水設施等。然因近年來，國營事業固定資產投資計畫及各項投資建設仍尚有低度利用或閒置情形，究其原因，為其前期規劃作業未盡完善，亦未審慎評估計畫可行性，致使後續執行遇有地方政府反對或環評</w:t>
            </w:r>
            <w:proofErr w:type="gramStart"/>
            <w:r w:rsidRPr="00C77453">
              <w:rPr>
                <w:rFonts w:ascii="標楷體" w:eastAsia="標楷體" w:hAnsi="標楷體" w:hint="eastAsia"/>
                <w:szCs w:val="24"/>
              </w:rPr>
              <w:t>未過等窘境</w:t>
            </w:r>
            <w:proofErr w:type="gramEnd"/>
            <w:r w:rsidRPr="00C77453">
              <w:rPr>
                <w:rFonts w:ascii="標楷體" w:eastAsia="標楷體" w:hAnsi="標楷體" w:hint="eastAsia"/>
                <w:szCs w:val="24"/>
              </w:rPr>
              <w:t>，導致計畫停辦，且部分計畫亦缺乏辦理之急迫</w:t>
            </w:r>
            <w:r w:rsidRPr="00C77453">
              <w:rPr>
                <w:rFonts w:ascii="標楷體" w:eastAsia="標楷體" w:hAnsi="標楷體" w:hint="eastAsia"/>
                <w:szCs w:val="24"/>
              </w:rPr>
              <w:lastRenderedPageBreak/>
              <w:t>性及必要性。為避免各國營事業投入資金後，因執行欠佳等情形停止辦理，並使其投資得以發揮最大效益，</w:t>
            </w:r>
            <w:proofErr w:type="gramStart"/>
            <w:r w:rsidRPr="00C77453">
              <w:rPr>
                <w:rFonts w:ascii="標楷體" w:eastAsia="標楷體" w:hAnsi="標楷體" w:hint="eastAsia"/>
                <w:szCs w:val="24"/>
              </w:rPr>
              <w:t>爰</w:t>
            </w:r>
            <w:proofErr w:type="gramEnd"/>
            <w:r w:rsidRPr="00C77453">
              <w:rPr>
                <w:rFonts w:ascii="標楷體" w:eastAsia="標楷體" w:hAnsi="標楷體" w:hint="eastAsia"/>
                <w:szCs w:val="24"/>
              </w:rPr>
              <w:t>要求經濟部、財政部及交通部等國營事業單位分別向立法院經濟、財政、交通等委員會提出改善固定資產建設投資計畫前期報告及閒置或未達經濟效益之投資設備運用情形之檢討報告。</w:t>
            </w:r>
          </w:p>
        </w:tc>
        <w:tc>
          <w:tcPr>
            <w:tcW w:w="3922" w:type="dxa"/>
            <w:tcBorders>
              <w:top w:val="single" w:sz="4" w:space="0" w:color="auto"/>
              <w:bottom w:val="single" w:sz="4" w:space="0" w:color="auto"/>
              <w:right w:val="single" w:sz="4" w:space="0" w:color="auto"/>
            </w:tcBorders>
          </w:tcPr>
          <w:p w:rsidR="00D113A5" w:rsidRPr="00CE28DF" w:rsidRDefault="00584D8D" w:rsidP="00D113A5">
            <w:pPr>
              <w:jc w:val="both"/>
              <w:rPr>
                <w:rFonts w:eastAsia="標楷體"/>
                <w:szCs w:val="24"/>
              </w:rPr>
            </w:pPr>
            <w:r>
              <w:rPr>
                <w:rFonts w:eastAsia="標楷體" w:hint="eastAsia"/>
                <w:szCs w:val="24"/>
              </w:rPr>
              <w:lastRenderedPageBreak/>
              <w:t>本項無本院</w:t>
            </w:r>
            <w:r w:rsidR="00D113A5">
              <w:rPr>
                <w:rFonts w:eastAsia="標楷體" w:hint="eastAsia"/>
                <w:szCs w:val="24"/>
              </w:rPr>
              <w:t>應辦理事項。</w:t>
            </w:r>
          </w:p>
        </w:tc>
      </w:tr>
      <w:tr w:rsidR="00AD5629" w:rsidRPr="00485870" w:rsidTr="000052F2">
        <w:trPr>
          <w:cantSplit/>
          <w:trHeight w:val="415"/>
          <w:jc w:val="center"/>
        </w:trPr>
        <w:tc>
          <w:tcPr>
            <w:tcW w:w="9849" w:type="dxa"/>
            <w:gridSpan w:val="3"/>
            <w:tcBorders>
              <w:top w:val="single" w:sz="4" w:space="0" w:color="auto"/>
              <w:left w:val="single" w:sz="4" w:space="0" w:color="auto"/>
              <w:bottom w:val="single" w:sz="4" w:space="0" w:color="auto"/>
              <w:right w:val="single" w:sz="4" w:space="0" w:color="auto"/>
            </w:tcBorders>
            <w:vAlign w:val="center"/>
          </w:tcPr>
          <w:p w:rsidR="00AD5629" w:rsidRPr="003E02BF" w:rsidRDefault="00AD5629" w:rsidP="00AD5629">
            <w:pPr>
              <w:spacing w:line="0" w:lineRule="atLeast"/>
              <w:textAlignment w:val="top"/>
              <w:rPr>
                <w:rFonts w:ascii="標楷體" w:eastAsia="標楷體" w:hAnsi="標楷體"/>
                <w:szCs w:val="24"/>
              </w:rPr>
            </w:pPr>
            <w:r>
              <w:rPr>
                <w:rFonts w:eastAsia="標楷體" w:hint="eastAsia"/>
                <w:b/>
                <w:szCs w:val="24"/>
              </w:rPr>
              <w:t>二、</w:t>
            </w:r>
            <w:r w:rsidRPr="00FC2FF9">
              <w:rPr>
                <w:rFonts w:eastAsia="標楷體"/>
                <w:b/>
                <w:szCs w:val="24"/>
              </w:rPr>
              <w:t>委員會審查決議部分：</w:t>
            </w:r>
          </w:p>
        </w:tc>
      </w:tr>
      <w:tr w:rsidR="00BF4776" w:rsidRPr="008560FA" w:rsidTr="00D31AD1">
        <w:trPr>
          <w:cantSplit/>
          <w:trHeight w:val="9368"/>
          <w:jc w:val="center"/>
        </w:trPr>
        <w:tc>
          <w:tcPr>
            <w:tcW w:w="606" w:type="dxa"/>
            <w:tcBorders>
              <w:top w:val="single" w:sz="4" w:space="0" w:color="auto"/>
              <w:left w:val="single" w:sz="4" w:space="0" w:color="auto"/>
              <w:bottom w:val="single" w:sz="4" w:space="0" w:color="auto"/>
            </w:tcBorders>
          </w:tcPr>
          <w:p w:rsidR="00BF4776" w:rsidRPr="008560FA" w:rsidRDefault="00407625" w:rsidP="00BF4776">
            <w:pPr>
              <w:jc w:val="center"/>
              <w:rPr>
                <w:rFonts w:ascii="標楷體" w:eastAsia="標楷體" w:hAnsi="標楷體"/>
              </w:rPr>
            </w:pPr>
            <w:r>
              <w:rPr>
                <w:rFonts w:ascii="標楷體" w:eastAsia="標楷體" w:hAnsi="標楷體" w:hint="eastAsia"/>
              </w:rPr>
              <w:t>1</w:t>
            </w:r>
            <w:r>
              <w:rPr>
                <w:rFonts w:ascii="標楷體" w:eastAsia="標楷體" w:hAnsi="標楷體"/>
              </w:rPr>
              <w:t>.</w:t>
            </w:r>
          </w:p>
        </w:tc>
        <w:tc>
          <w:tcPr>
            <w:tcW w:w="5321" w:type="dxa"/>
            <w:tcBorders>
              <w:top w:val="single" w:sz="4" w:space="0" w:color="auto"/>
              <w:bottom w:val="single" w:sz="4" w:space="0" w:color="auto"/>
            </w:tcBorders>
          </w:tcPr>
          <w:p w:rsidR="00BF4776" w:rsidRPr="00A529C7" w:rsidRDefault="004A2DFF" w:rsidP="004A2DFF">
            <w:pPr>
              <w:spacing w:line="360" w:lineRule="exact"/>
              <w:jc w:val="both"/>
              <w:rPr>
                <w:rFonts w:ascii="標楷體" w:eastAsia="標楷體" w:hAnsi="標楷體"/>
                <w:szCs w:val="24"/>
              </w:rPr>
            </w:pPr>
            <w:r w:rsidRPr="00A529C7">
              <w:rPr>
                <w:rFonts w:ascii="標楷體" w:eastAsia="標楷體" w:hAnsi="標楷體" w:hint="eastAsia"/>
                <w:szCs w:val="24"/>
              </w:rPr>
              <w:t xml:space="preserve">    國立臺灣大學醫學院附設醫院金山</w:t>
            </w:r>
            <w:proofErr w:type="gramStart"/>
            <w:r w:rsidRPr="00A529C7">
              <w:rPr>
                <w:rFonts w:ascii="標楷體" w:eastAsia="標楷體" w:hAnsi="標楷體" w:hint="eastAsia"/>
                <w:szCs w:val="24"/>
              </w:rPr>
              <w:t>分院占床率</w:t>
            </w:r>
            <w:proofErr w:type="gramEnd"/>
            <w:r w:rsidRPr="00A529C7">
              <w:rPr>
                <w:rFonts w:ascii="標楷體" w:eastAsia="標楷體" w:hAnsi="標楷體" w:hint="eastAsia"/>
                <w:szCs w:val="24"/>
              </w:rPr>
              <w:t>偏低，僅約4至</w:t>
            </w:r>
            <w:proofErr w:type="gramStart"/>
            <w:r w:rsidRPr="00A529C7">
              <w:rPr>
                <w:rFonts w:ascii="標楷體" w:eastAsia="標楷體" w:hAnsi="標楷體" w:hint="eastAsia"/>
                <w:szCs w:val="24"/>
              </w:rPr>
              <w:t>5成</w:t>
            </w:r>
            <w:proofErr w:type="gramEnd"/>
            <w:r w:rsidRPr="00A529C7">
              <w:rPr>
                <w:rFonts w:ascii="標楷體" w:eastAsia="標楷體" w:hAnsi="標楷體" w:hint="eastAsia"/>
                <w:szCs w:val="24"/>
              </w:rPr>
              <w:t>，</w:t>
            </w:r>
            <w:proofErr w:type="gramStart"/>
            <w:r w:rsidRPr="00A529C7">
              <w:rPr>
                <w:rFonts w:ascii="標楷體" w:eastAsia="標楷體" w:hAnsi="標楷體" w:hint="eastAsia"/>
                <w:szCs w:val="24"/>
              </w:rPr>
              <w:t>北護分院</w:t>
            </w:r>
            <w:proofErr w:type="gramEnd"/>
            <w:r w:rsidRPr="00A529C7">
              <w:rPr>
                <w:rFonts w:ascii="標楷體" w:eastAsia="標楷體" w:hAnsi="標楷體" w:hint="eastAsia"/>
                <w:szCs w:val="24"/>
              </w:rPr>
              <w:t>及竹東分院及成大醫院斗六</w:t>
            </w:r>
            <w:proofErr w:type="gramStart"/>
            <w:r w:rsidRPr="00A529C7">
              <w:rPr>
                <w:rFonts w:ascii="標楷體" w:eastAsia="標楷體" w:hAnsi="標楷體" w:hint="eastAsia"/>
                <w:szCs w:val="24"/>
              </w:rPr>
              <w:t>分院占床率</w:t>
            </w:r>
            <w:proofErr w:type="gramEnd"/>
            <w:r w:rsidRPr="00A529C7">
              <w:rPr>
                <w:rFonts w:ascii="標楷體" w:eastAsia="標楷體" w:hAnsi="標楷體" w:hint="eastAsia"/>
                <w:szCs w:val="24"/>
              </w:rPr>
              <w:t>僅5至</w:t>
            </w:r>
            <w:proofErr w:type="gramStart"/>
            <w:r w:rsidRPr="00A529C7">
              <w:rPr>
                <w:rFonts w:ascii="標楷體" w:eastAsia="標楷體" w:hAnsi="標楷體" w:hint="eastAsia"/>
                <w:szCs w:val="24"/>
              </w:rPr>
              <w:t>6成</w:t>
            </w:r>
            <w:proofErr w:type="gramEnd"/>
            <w:r w:rsidRPr="00A529C7">
              <w:rPr>
                <w:rFonts w:ascii="標楷體" w:eastAsia="標楷體" w:hAnsi="標楷體" w:hint="eastAsia"/>
                <w:szCs w:val="24"/>
              </w:rPr>
              <w:t>，亦屬偏低，造成醫療資源閒置及浪費，醫院經營</w:t>
            </w:r>
            <w:proofErr w:type="gramStart"/>
            <w:r w:rsidRPr="00A529C7">
              <w:rPr>
                <w:rFonts w:ascii="標楷體" w:eastAsia="標楷體" w:hAnsi="標楷體" w:hint="eastAsia"/>
                <w:szCs w:val="24"/>
              </w:rPr>
              <w:t>效率容待提升</w:t>
            </w:r>
            <w:proofErr w:type="gramEnd"/>
            <w:r w:rsidRPr="00A529C7">
              <w:rPr>
                <w:rFonts w:ascii="標楷體" w:eastAsia="標楷體" w:hAnsi="標楷體" w:hint="eastAsia"/>
                <w:szCs w:val="24"/>
              </w:rPr>
              <w:t>。請國立臺灣大學醫學院附設醫院3個月內提出說明報告送交立法院。</w:t>
            </w:r>
          </w:p>
        </w:tc>
        <w:tc>
          <w:tcPr>
            <w:tcW w:w="3922" w:type="dxa"/>
            <w:tcBorders>
              <w:top w:val="single" w:sz="4" w:space="0" w:color="auto"/>
              <w:bottom w:val="single" w:sz="4" w:space="0" w:color="auto"/>
              <w:right w:val="single" w:sz="4" w:space="0" w:color="auto"/>
            </w:tcBorders>
          </w:tcPr>
          <w:p w:rsidR="00BF4776" w:rsidRPr="00A529C7" w:rsidRDefault="00E4127A" w:rsidP="00BF4776">
            <w:pPr>
              <w:snapToGrid w:val="0"/>
              <w:spacing w:line="360" w:lineRule="exact"/>
              <w:jc w:val="both"/>
              <w:rPr>
                <w:rFonts w:ascii="標楷體" w:eastAsia="標楷體" w:hAnsi="標楷體"/>
                <w:szCs w:val="24"/>
              </w:rPr>
            </w:pPr>
            <w:r w:rsidRPr="00E4127A">
              <w:rPr>
                <w:rFonts w:ascii="標楷體" w:eastAsia="標楷體" w:hAnsi="標楷體" w:hint="eastAsia"/>
                <w:szCs w:val="24"/>
              </w:rPr>
              <w:t>本項無本院應辦理事項。</w:t>
            </w:r>
          </w:p>
          <w:p w:rsidR="00BF4776" w:rsidRPr="00A529C7" w:rsidRDefault="00BF4776" w:rsidP="00BF4776">
            <w:pPr>
              <w:snapToGrid w:val="0"/>
              <w:spacing w:line="360" w:lineRule="exact"/>
              <w:jc w:val="both"/>
              <w:rPr>
                <w:rFonts w:ascii="標楷體" w:eastAsia="標楷體" w:hAnsi="標楷體"/>
                <w:szCs w:val="24"/>
              </w:rPr>
            </w:pPr>
          </w:p>
        </w:tc>
      </w:tr>
    </w:tbl>
    <w:p w:rsidR="000322A7" w:rsidRPr="000A17EF" w:rsidRDefault="000322A7" w:rsidP="000A17EF">
      <w:pPr>
        <w:snapToGrid w:val="0"/>
      </w:pPr>
    </w:p>
    <w:sectPr w:rsidR="000322A7" w:rsidRPr="000A17EF" w:rsidSect="00C0290A">
      <w:footerReference w:type="even" r:id="rId8"/>
      <w:footerReference w:type="default" r:id="rId9"/>
      <w:pgSz w:w="11907" w:h="16840" w:code="9"/>
      <w:pgMar w:top="1134" w:right="1134" w:bottom="1134" w:left="1134" w:header="567" w:footer="601" w:gutter="0"/>
      <w:pgNumType w:start="118"/>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A4B" w:rsidRDefault="00316A4B">
      <w:r>
        <w:separator/>
      </w:r>
    </w:p>
  </w:endnote>
  <w:endnote w:type="continuationSeparator" w:id="0">
    <w:p w:rsidR="00316A4B" w:rsidRDefault="0031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黑體">
    <w:altName w:val="Arial Unicode MS"/>
    <w:charset w:val="88"/>
    <w:family w:val="modern"/>
    <w:pitch w:val="fixed"/>
    <w:sig w:usb0="80000001" w:usb1="28091800" w:usb2="00000016"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Arial Unicode MS"/>
    <w:charset w:val="88"/>
    <w:family w:val="modern"/>
    <w:pitch w:val="fixed"/>
    <w:sig w:usb0="80000001" w:usb1="28091800" w:usb2="00000016" w:usb3="00000000" w:csb0="00100000" w:csb1="00000000"/>
  </w:font>
  <w:font w:name="華康仿宋體W4">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8BC" w:rsidRDefault="006C0AA2" w:rsidP="00E563D8">
    <w:pPr>
      <w:pStyle w:val="a4"/>
      <w:framePr w:wrap="around" w:vAnchor="text" w:hAnchor="margin" w:xAlign="right" w:y="1"/>
      <w:rPr>
        <w:rStyle w:val="a6"/>
      </w:rPr>
    </w:pPr>
    <w:r>
      <w:rPr>
        <w:rStyle w:val="a6"/>
      </w:rPr>
      <w:fldChar w:fldCharType="begin"/>
    </w:r>
    <w:r w:rsidR="008D28BC">
      <w:rPr>
        <w:rStyle w:val="a6"/>
      </w:rPr>
      <w:instrText xml:space="preserve">PAGE  </w:instrText>
    </w:r>
    <w:r>
      <w:rPr>
        <w:rStyle w:val="a6"/>
      </w:rPr>
      <w:fldChar w:fldCharType="end"/>
    </w:r>
  </w:p>
  <w:p w:rsidR="008D28BC" w:rsidRDefault="008D28BC" w:rsidP="00E563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928253"/>
      <w:docPartObj>
        <w:docPartGallery w:val="Page Numbers (Bottom of Page)"/>
        <w:docPartUnique/>
      </w:docPartObj>
    </w:sdtPr>
    <w:sdtEndPr/>
    <w:sdtContent>
      <w:p w:rsidR="00D31AD1" w:rsidRDefault="00120DFC">
        <w:pPr>
          <w:pStyle w:val="a4"/>
          <w:jc w:val="center"/>
        </w:pPr>
        <w:r>
          <w:rPr>
            <w:rFonts w:hint="eastAsia"/>
          </w:rPr>
          <w:t>1-</w:t>
        </w:r>
        <w:r w:rsidR="00D31AD1">
          <w:fldChar w:fldCharType="begin"/>
        </w:r>
        <w:r w:rsidR="00D31AD1">
          <w:instrText>PAGE   \* MERGEFORMAT</w:instrText>
        </w:r>
        <w:r w:rsidR="00D31AD1">
          <w:fldChar w:fldCharType="separate"/>
        </w:r>
        <w:r w:rsidR="00C0290A" w:rsidRPr="00C0290A">
          <w:rPr>
            <w:noProof/>
            <w:lang w:val="zh-TW"/>
          </w:rPr>
          <w:t>119</w:t>
        </w:r>
        <w:r w:rsidR="00D31AD1">
          <w:fldChar w:fldCharType="end"/>
        </w:r>
      </w:p>
    </w:sdtContent>
  </w:sdt>
  <w:p w:rsidR="000322A7" w:rsidRPr="000005A7" w:rsidRDefault="000322A7" w:rsidP="00D31AD1">
    <w:pPr>
      <w:pStyle w:val="a4"/>
      <w:ind w:right="360"/>
      <w:rPr>
        <w:rFonts w:ascii="標楷體" w:eastAsia="標楷體" w:hAnsi="標楷體"/>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A4B" w:rsidRDefault="00316A4B">
      <w:r>
        <w:separator/>
      </w:r>
    </w:p>
  </w:footnote>
  <w:footnote w:type="continuationSeparator" w:id="0">
    <w:p w:rsidR="00316A4B" w:rsidRDefault="00316A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F5C96"/>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2" w15:restartNumberingAfterBreak="0">
    <w:nsid w:val="0ECE2E9A"/>
    <w:multiLevelType w:val="singleLevel"/>
    <w:tmpl w:val="FF3436DE"/>
    <w:lvl w:ilvl="0">
      <w:start w:val="4"/>
      <w:numFmt w:val="bullet"/>
      <w:lvlText w:val="※"/>
      <w:lvlJc w:val="left"/>
      <w:pPr>
        <w:tabs>
          <w:tab w:val="num" w:pos="840"/>
        </w:tabs>
        <w:ind w:left="840" w:hanging="240"/>
      </w:pPr>
      <w:rPr>
        <w:rFonts w:ascii="新細明體" w:eastAsia="新細明體" w:hAnsi="Times New Roman" w:hint="eastAsia"/>
      </w:rPr>
    </w:lvl>
  </w:abstractNum>
  <w:abstractNum w:abstractNumId="3" w15:restartNumberingAfterBreak="0">
    <w:nsid w:val="12C1217E"/>
    <w:multiLevelType w:val="hybridMultilevel"/>
    <w:tmpl w:val="861E914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27A5E47"/>
    <w:multiLevelType w:val="singleLevel"/>
    <w:tmpl w:val="4E687F4C"/>
    <w:lvl w:ilvl="0">
      <w:start w:val="1"/>
      <w:numFmt w:val="taiwaneseCountingThousand"/>
      <w:lvlText w:val="%1、"/>
      <w:lvlJc w:val="left"/>
      <w:pPr>
        <w:tabs>
          <w:tab w:val="num" w:pos="444"/>
        </w:tabs>
        <w:ind w:left="444" w:hanging="444"/>
      </w:pPr>
      <w:rPr>
        <w:rFonts w:hint="eastAsia"/>
      </w:rPr>
    </w:lvl>
  </w:abstractNum>
  <w:abstractNum w:abstractNumId="5" w15:restartNumberingAfterBreak="0">
    <w:nsid w:val="2A217473"/>
    <w:multiLevelType w:val="hybridMultilevel"/>
    <w:tmpl w:val="6CAC94E6"/>
    <w:lvl w:ilvl="0" w:tplc="BB74D99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1B76697"/>
    <w:multiLevelType w:val="singleLevel"/>
    <w:tmpl w:val="411651D8"/>
    <w:lvl w:ilvl="0">
      <w:start w:val="4"/>
      <w:numFmt w:val="bullet"/>
      <w:lvlText w:val="◎"/>
      <w:lvlJc w:val="left"/>
      <w:pPr>
        <w:tabs>
          <w:tab w:val="num" w:pos="240"/>
        </w:tabs>
        <w:ind w:left="240" w:hanging="240"/>
      </w:pPr>
      <w:rPr>
        <w:rFonts w:ascii="華康中黑體" w:eastAsia="華康中黑體" w:hAnsi="Times New Roman" w:hint="eastAsia"/>
        <w:sz w:val="18"/>
      </w:rPr>
    </w:lvl>
  </w:abstractNum>
  <w:abstractNum w:abstractNumId="7" w15:restartNumberingAfterBreak="0">
    <w:nsid w:val="335D38F8"/>
    <w:multiLevelType w:val="hybridMultilevel"/>
    <w:tmpl w:val="8A5C52E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BDD428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EAD2CD4"/>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05073C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42F4591C"/>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532E4940"/>
    <w:multiLevelType w:val="hybridMultilevel"/>
    <w:tmpl w:val="AAF05464"/>
    <w:lvl w:ilvl="0" w:tplc="BB2AB7E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2E5875"/>
    <w:multiLevelType w:val="hybridMultilevel"/>
    <w:tmpl w:val="407081B6"/>
    <w:lvl w:ilvl="0" w:tplc="9BB276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27442F8"/>
    <w:multiLevelType w:val="hybridMultilevel"/>
    <w:tmpl w:val="E3CCB526"/>
    <w:lvl w:ilvl="0" w:tplc="33D87668">
      <w:start w:val="3"/>
      <w:numFmt w:val="bullet"/>
      <w:lvlText w:val="◎"/>
      <w:lvlJc w:val="left"/>
      <w:pPr>
        <w:tabs>
          <w:tab w:val="num" w:pos="720"/>
        </w:tabs>
        <w:ind w:left="720" w:hanging="720"/>
      </w:pPr>
      <w:rPr>
        <w:rFonts w:ascii="華康中明體" w:eastAsia="華康中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6D30087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6" w15:restartNumberingAfterBreak="0">
    <w:nsid w:val="70890256"/>
    <w:multiLevelType w:val="hybridMultilevel"/>
    <w:tmpl w:val="7D52518C"/>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775A78D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76829F0"/>
    <w:multiLevelType w:val="hybridMultilevel"/>
    <w:tmpl w:val="BAE80F1C"/>
    <w:lvl w:ilvl="0" w:tplc="9E6CFC58">
      <w:start w:val="1"/>
      <w:numFmt w:val="decimal"/>
      <w:lvlText w:val="%1."/>
      <w:lvlJc w:val="left"/>
      <w:pPr>
        <w:tabs>
          <w:tab w:val="num" w:pos="360"/>
        </w:tabs>
        <w:ind w:left="360" w:hanging="360"/>
      </w:pPr>
      <w:rPr>
        <w:rFonts w:hint="default"/>
      </w:rPr>
    </w:lvl>
    <w:lvl w:ilvl="1" w:tplc="323EF58A">
      <w:start w:val="1"/>
      <w:numFmt w:val="decimal"/>
      <w:lvlText w:val="%2."/>
      <w:lvlJc w:val="left"/>
      <w:pPr>
        <w:tabs>
          <w:tab w:val="num" w:pos="960"/>
        </w:tabs>
        <w:ind w:left="960" w:hanging="480"/>
      </w:pPr>
      <w:rPr>
        <w:rFonts w:hint="eastAsia"/>
      </w:rPr>
    </w:lvl>
    <w:lvl w:ilvl="2" w:tplc="C8448C24">
      <w:start w:val="1"/>
      <w:numFmt w:val="decimal"/>
      <w:lvlText w:val="(%3)"/>
      <w:lvlJc w:val="right"/>
      <w:pPr>
        <w:tabs>
          <w:tab w:val="num" w:pos="1077"/>
        </w:tabs>
        <w:ind w:left="1361" w:hanging="401"/>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9335E2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0" w15:restartNumberingAfterBreak="0">
    <w:nsid w:val="7B19512F"/>
    <w:multiLevelType w:val="singleLevel"/>
    <w:tmpl w:val="9E42D104"/>
    <w:lvl w:ilvl="0">
      <w:start w:val="1"/>
      <w:numFmt w:val="taiwaneseCountingThousand"/>
      <w:lvlText w:val="%1、"/>
      <w:lvlJc w:val="left"/>
      <w:pPr>
        <w:tabs>
          <w:tab w:val="num" w:pos="780"/>
        </w:tabs>
        <w:ind w:left="780" w:hanging="444"/>
      </w:pPr>
      <w:rPr>
        <w:rFonts w:hint="eastAsia"/>
      </w:rPr>
    </w:lvl>
  </w:abstractNum>
  <w:num w:numId="1">
    <w:abstractNumId w:val="1"/>
  </w:num>
  <w:num w:numId="2">
    <w:abstractNumId w:val="6"/>
  </w:num>
  <w:num w:numId="3">
    <w:abstractNumId w:val="19"/>
  </w:num>
  <w:num w:numId="4">
    <w:abstractNumId w:val="17"/>
  </w:num>
  <w:num w:numId="5">
    <w:abstractNumId w:val="8"/>
  </w:num>
  <w:num w:numId="6">
    <w:abstractNumId w:val="10"/>
  </w:num>
  <w:num w:numId="7">
    <w:abstractNumId w:val="11"/>
  </w:num>
  <w:num w:numId="8">
    <w:abstractNumId w:val="9"/>
  </w:num>
  <w:num w:numId="9">
    <w:abstractNumId w:val="15"/>
  </w:num>
  <w:num w:numId="10">
    <w:abstractNumId w:val="2"/>
  </w:num>
  <w:num w:numId="11">
    <w:abstractNumId w:val="20"/>
  </w:num>
  <w:num w:numId="12">
    <w:abstractNumId w:val="4"/>
  </w:num>
  <w:num w:numId="13">
    <w:abstractNumId w:val="0"/>
    <w:lvlOverride w:ilvl="0">
      <w:lvl w:ilvl="0">
        <w:start w:val="1"/>
        <w:numFmt w:val="bullet"/>
        <w:lvlText w:val="＊"/>
        <w:legacy w:legacy="1" w:legacySpace="0" w:legacyIndent="210"/>
        <w:lvlJc w:val="left"/>
        <w:pPr>
          <w:ind w:left="210" w:hanging="210"/>
        </w:pPr>
        <w:rPr>
          <w:rFonts w:ascii="華康仿宋體W4" w:eastAsia="華康仿宋體W4" w:hint="eastAsia"/>
          <w:b w:val="0"/>
          <w:i w:val="0"/>
          <w:sz w:val="20"/>
          <w:u w:val="none"/>
        </w:rPr>
      </w:lvl>
    </w:lvlOverride>
  </w:num>
  <w:num w:numId="14">
    <w:abstractNumId w:val="14"/>
  </w:num>
  <w:num w:numId="15">
    <w:abstractNumId w:val="16"/>
  </w:num>
  <w:num w:numId="16">
    <w:abstractNumId w:val="18"/>
  </w:num>
  <w:num w:numId="17">
    <w:abstractNumId w:val="7"/>
  </w:num>
  <w:num w:numId="18">
    <w:abstractNumId w:val="3"/>
  </w:num>
  <w:num w:numId="19">
    <w:abstractNumId w:val="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oNotHyphenateCaps/>
  <w:drawingGridHorizontalSpacing w:val="2"/>
  <w:drawingGridVerticalSpacing w:val="2"/>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85F"/>
    <w:rsid w:val="000005A7"/>
    <w:rsid w:val="0000285F"/>
    <w:rsid w:val="00002C81"/>
    <w:rsid w:val="000049F7"/>
    <w:rsid w:val="000052F2"/>
    <w:rsid w:val="00021AC7"/>
    <w:rsid w:val="000322A7"/>
    <w:rsid w:val="0004247E"/>
    <w:rsid w:val="00062A2F"/>
    <w:rsid w:val="00070237"/>
    <w:rsid w:val="00093C41"/>
    <w:rsid w:val="000A17EF"/>
    <w:rsid w:val="000A7A9A"/>
    <w:rsid w:val="000B0E07"/>
    <w:rsid w:val="000B40AA"/>
    <w:rsid w:val="000B4F31"/>
    <w:rsid w:val="000B5BC6"/>
    <w:rsid w:val="000F2503"/>
    <w:rsid w:val="00120DFC"/>
    <w:rsid w:val="00121CCD"/>
    <w:rsid w:val="0012524F"/>
    <w:rsid w:val="00127848"/>
    <w:rsid w:val="001359E9"/>
    <w:rsid w:val="001409CD"/>
    <w:rsid w:val="00152B93"/>
    <w:rsid w:val="00162055"/>
    <w:rsid w:val="0017234D"/>
    <w:rsid w:val="001738C9"/>
    <w:rsid w:val="0017748F"/>
    <w:rsid w:val="00180E05"/>
    <w:rsid w:val="00183528"/>
    <w:rsid w:val="001A6141"/>
    <w:rsid w:val="001B11CF"/>
    <w:rsid w:val="001C3595"/>
    <w:rsid w:val="001E63DB"/>
    <w:rsid w:val="0024244B"/>
    <w:rsid w:val="00270AE6"/>
    <w:rsid w:val="0027340A"/>
    <w:rsid w:val="00273A1A"/>
    <w:rsid w:val="00277270"/>
    <w:rsid w:val="00292B32"/>
    <w:rsid w:val="002A1DC2"/>
    <w:rsid w:val="002A340C"/>
    <w:rsid w:val="002B2109"/>
    <w:rsid w:val="002D6688"/>
    <w:rsid w:val="002E72A6"/>
    <w:rsid w:val="002F15BE"/>
    <w:rsid w:val="002F1892"/>
    <w:rsid w:val="002F71B1"/>
    <w:rsid w:val="00301677"/>
    <w:rsid w:val="00316A4B"/>
    <w:rsid w:val="00337D40"/>
    <w:rsid w:val="003639C9"/>
    <w:rsid w:val="0036773B"/>
    <w:rsid w:val="0037154A"/>
    <w:rsid w:val="00376B3C"/>
    <w:rsid w:val="00383D42"/>
    <w:rsid w:val="00396F62"/>
    <w:rsid w:val="00397CA4"/>
    <w:rsid w:val="003A1EE3"/>
    <w:rsid w:val="003B2D8B"/>
    <w:rsid w:val="003B30E7"/>
    <w:rsid w:val="003E02BF"/>
    <w:rsid w:val="003F3D2D"/>
    <w:rsid w:val="004005F7"/>
    <w:rsid w:val="004040C2"/>
    <w:rsid w:val="004070C9"/>
    <w:rsid w:val="00407625"/>
    <w:rsid w:val="00414016"/>
    <w:rsid w:val="00416E5F"/>
    <w:rsid w:val="004205B8"/>
    <w:rsid w:val="004257DF"/>
    <w:rsid w:val="00431ABA"/>
    <w:rsid w:val="00437F50"/>
    <w:rsid w:val="00443995"/>
    <w:rsid w:val="004452E6"/>
    <w:rsid w:val="00452F31"/>
    <w:rsid w:val="004639B5"/>
    <w:rsid w:val="004645D9"/>
    <w:rsid w:val="00466133"/>
    <w:rsid w:val="00467C73"/>
    <w:rsid w:val="00480BA6"/>
    <w:rsid w:val="00484AC5"/>
    <w:rsid w:val="00485870"/>
    <w:rsid w:val="004906E7"/>
    <w:rsid w:val="004A2510"/>
    <w:rsid w:val="004A2DFF"/>
    <w:rsid w:val="004C179E"/>
    <w:rsid w:val="004C6056"/>
    <w:rsid w:val="004E7760"/>
    <w:rsid w:val="004F7419"/>
    <w:rsid w:val="0050062F"/>
    <w:rsid w:val="00503D9A"/>
    <w:rsid w:val="00511EE1"/>
    <w:rsid w:val="0051349C"/>
    <w:rsid w:val="005306B2"/>
    <w:rsid w:val="00533387"/>
    <w:rsid w:val="00533396"/>
    <w:rsid w:val="00542606"/>
    <w:rsid w:val="00565436"/>
    <w:rsid w:val="0057155E"/>
    <w:rsid w:val="0058410A"/>
    <w:rsid w:val="00584D8D"/>
    <w:rsid w:val="005909EE"/>
    <w:rsid w:val="005C0AAE"/>
    <w:rsid w:val="005C6D00"/>
    <w:rsid w:val="005D1FCC"/>
    <w:rsid w:val="005D5B41"/>
    <w:rsid w:val="005E0C0F"/>
    <w:rsid w:val="005E5BAD"/>
    <w:rsid w:val="005F49F6"/>
    <w:rsid w:val="005F791B"/>
    <w:rsid w:val="0060037C"/>
    <w:rsid w:val="00605D59"/>
    <w:rsid w:val="00616C51"/>
    <w:rsid w:val="00617EA3"/>
    <w:rsid w:val="00621E6D"/>
    <w:rsid w:val="00624DF8"/>
    <w:rsid w:val="00641542"/>
    <w:rsid w:val="00650C5B"/>
    <w:rsid w:val="006756EE"/>
    <w:rsid w:val="006929B1"/>
    <w:rsid w:val="00695AE2"/>
    <w:rsid w:val="006960BA"/>
    <w:rsid w:val="006A179B"/>
    <w:rsid w:val="006A4360"/>
    <w:rsid w:val="006A54F8"/>
    <w:rsid w:val="006B180B"/>
    <w:rsid w:val="006B4C57"/>
    <w:rsid w:val="006B4CFF"/>
    <w:rsid w:val="006C0AA2"/>
    <w:rsid w:val="006C3E60"/>
    <w:rsid w:val="006D283F"/>
    <w:rsid w:val="006F0FA4"/>
    <w:rsid w:val="006F29FC"/>
    <w:rsid w:val="00701304"/>
    <w:rsid w:val="00701D29"/>
    <w:rsid w:val="007053DD"/>
    <w:rsid w:val="0071681B"/>
    <w:rsid w:val="00735F13"/>
    <w:rsid w:val="007372AC"/>
    <w:rsid w:val="007430E7"/>
    <w:rsid w:val="00746290"/>
    <w:rsid w:val="007515A9"/>
    <w:rsid w:val="007612D2"/>
    <w:rsid w:val="00761A24"/>
    <w:rsid w:val="00766CE5"/>
    <w:rsid w:val="007730E0"/>
    <w:rsid w:val="00782D17"/>
    <w:rsid w:val="007954AC"/>
    <w:rsid w:val="007A028C"/>
    <w:rsid w:val="007A32AD"/>
    <w:rsid w:val="007C3FD7"/>
    <w:rsid w:val="007C47AD"/>
    <w:rsid w:val="007D17CB"/>
    <w:rsid w:val="007D69B8"/>
    <w:rsid w:val="007E1F3C"/>
    <w:rsid w:val="007E5DF7"/>
    <w:rsid w:val="007E6A50"/>
    <w:rsid w:val="007F083A"/>
    <w:rsid w:val="00800573"/>
    <w:rsid w:val="00822789"/>
    <w:rsid w:val="008349A1"/>
    <w:rsid w:val="008514AA"/>
    <w:rsid w:val="008524AC"/>
    <w:rsid w:val="008560FA"/>
    <w:rsid w:val="00885B97"/>
    <w:rsid w:val="008B0AF5"/>
    <w:rsid w:val="008B3215"/>
    <w:rsid w:val="008B737F"/>
    <w:rsid w:val="008C0AF5"/>
    <w:rsid w:val="008C47E1"/>
    <w:rsid w:val="008D0206"/>
    <w:rsid w:val="008D28BC"/>
    <w:rsid w:val="008E43AF"/>
    <w:rsid w:val="008E66BC"/>
    <w:rsid w:val="008F1DD4"/>
    <w:rsid w:val="0090463F"/>
    <w:rsid w:val="00907A41"/>
    <w:rsid w:val="00911BB5"/>
    <w:rsid w:val="009151A5"/>
    <w:rsid w:val="009211FC"/>
    <w:rsid w:val="009231E5"/>
    <w:rsid w:val="0094358D"/>
    <w:rsid w:val="00975DB5"/>
    <w:rsid w:val="00980E94"/>
    <w:rsid w:val="00985DE5"/>
    <w:rsid w:val="00990FB4"/>
    <w:rsid w:val="00991046"/>
    <w:rsid w:val="00994AF8"/>
    <w:rsid w:val="009960C9"/>
    <w:rsid w:val="009A1EAC"/>
    <w:rsid w:val="009A2E2D"/>
    <w:rsid w:val="009A3C88"/>
    <w:rsid w:val="009B7727"/>
    <w:rsid w:val="009C733C"/>
    <w:rsid w:val="009D7134"/>
    <w:rsid w:val="009E29CB"/>
    <w:rsid w:val="009E3332"/>
    <w:rsid w:val="009F6065"/>
    <w:rsid w:val="00A039FC"/>
    <w:rsid w:val="00A04BD0"/>
    <w:rsid w:val="00A12EB7"/>
    <w:rsid w:val="00A15136"/>
    <w:rsid w:val="00A1692D"/>
    <w:rsid w:val="00A21160"/>
    <w:rsid w:val="00A2342C"/>
    <w:rsid w:val="00A518FD"/>
    <w:rsid w:val="00A529C7"/>
    <w:rsid w:val="00A56887"/>
    <w:rsid w:val="00A60C4A"/>
    <w:rsid w:val="00A75EF1"/>
    <w:rsid w:val="00A94672"/>
    <w:rsid w:val="00AA2475"/>
    <w:rsid w:val="00AD1136"/>
    <w:rsid w:val="00AD5629"/>
    <w:rsid w:val="00AE002D"/>
    <w:rsid w:val="00AE0F0D"/>
    <w:rsid w:val="00B068E9"/>
    <w:rsid w:val="00B15ACE"/>
    <w:rsid w:val="00B215D1"/>
    <w:rsid w:val="00B22FEC"/>
    <w:rsid w:val="00B245C6"/>
    <w:rsid w:val="00B336ED"/>
    <w:rsid w:val="00B77092"/>
    <w:rsid w:val="00B863B8"/>
    <w:rsid w:val="00B93941"/>
    <w:rsid w:val="00BA1848"/>
    <w:rsid w:val="00BA6B97"/>
    <w:rsid w:val="00BB251E"/>
    <w:rsid w:val="00BD6B3D"/>
    <w:rsid w:val="00BE244A"/>
    <w:rsid w:val="00BE502C"/>
    <w:rsid w:val="00BF3F0F"/>
    <w:rsid w:val="00BF4776"/>
    <w:rsid w:val="00C0290A"/>
    <w:rsid w:val="00C171CB"/>
    <w:rsid w:val="00C475E2"/>
    <w:rsid w:val="00C503E7"/>
    <w:rsid w:val="00C56E7F"/>
    <w:rsid w:val="00C57839"/>
    <w:rsid w:val="00C72149"/>
    <w:rsid w:val="00C77453"/>
    <w:rsid w:val="00C91AE8"/>
    <w:rsid w:val="00C92B1D"/>
    <w:rsid w:val="00C9526C"/>
    <w:rsid w:val="00CA47E8"/>
    <w:rsid w:val="00CA6871"/>
    <w:rsid w:val="00CC6697"/>
    <w:rsid w:val="00CC77E5"/>
    <w:rsid w:val="00CD498F"/>
    <w:rsid w:val="00CD5C15"/>
    <w:rsid w:val="00CD70F1"/>
    <w:rsid w:val="00CF3062"/>
    <w:rsid w:val="00D0653A"/>
    <w:rsid w:val="00D07195"/>
    <w:rsid w:val="00D113A5"/>
    <w:rsid w:val="00D31AD1"/>
    <w:rsid w:val="00D42231"/>
    <w:rsid w:val="00D47D40"/>
    <w:rsid w:val="00D51627"/>
    <w:rsid w:val="00D60B02"/>
    <w:rsid w:val="00D805A1"/>
    <w:rsid w:val="00D828B8"/>
    <w:rsid w:val="00D83376"/>
    <w:rsid w:val="00D91184"/>
    <w:rsid w:val="00D9218D"/>
    <w:rsid w:val="00D94113"/>
    <w:rsid w:val="00D9719B"/>
    <w:rsid w:val="00DB2894"/>
    <w:rsid w:val="00DC3A16"/>
    <w:rsid w:val="00DD0659"/>
    <w:rsid w:val="00DE0BB6"/>
    <w:rsid w:val="00DF2C0B"/>
    <w:rsid w:val="00DF784E"/>
    <w:rsid w:val="00DF7C3F"/>
    <w:rsid w:val="00E3125D"/>
    <w:rsid w:val="00E37E79"/>
    <w:rsid w:val="00E4127A"/>
    <w:rsid w:val="00E432AD"/>
    <w:rsid w:val="00E44E7C"/>
    <w:rsid w:val="00E50424"/>
    <w:rsid w:val="00E539DD"/>
    <w:rsid w:val="00E563D8"/>
    <w:rsid w:val="00E7165A"/>
    <w:rsid w:val="00E85C41"/>
    <w:rsid w:val="00E95543"/>
    <w:rsid w:val="00E95B85"/>
    <w:rsid w:val="00E96536"/>
    <w:rsid w:val="00EA23A0"/>
    <w:rsid w:val="00EB6940"/>
    <w:rsid w:val="00EC23E5"/>
    <w:rsid w:val="00EC3C3C"/>
    <w:rsid w:val="00EE531C"/>
    <w:rsid w:val="00F12733"/>
    <w:rsid w:val="00F14D8E"/>
    <w:rsid w:val="00F22623"/>
    <w:rsid w:val="00F32C42"/>
    <w:rsid w:val="00F34DDA"/>
    <w:rsid w:val="00F35A33"/>
    <w:rsid w:val="00F418FC"/>
    <w:rsid w:val="00F4499E"/>
    <w:rsid w:val="00F5285C"/>
    <w:rsid w:val="00F62EE5"/>
    <w:rsid w:val="00F64DB3"/>
    <w:rsid w:val="00F6501E"/>
    <w:rsid w:val="00F74712"/>
    <w:rsid w:val="00FA7725"/>
    <w:rsid w:val="00FD10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FB1630-BEEC-4AE4-98BC-247C7582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995"/>
    <w:pPr>
      <w:widowControl w:val="0"/>
      <w:adjustRightInd w:val="0"/>
      <w:textAlignment w:val="baseline"/>
    </w:pPr>
    <w:rPr>
      <w:kern w:val="2"/>
      <w:sz w:val="24"/>
    </w:rPr>
  </w:style>
  <w:style w:type="paragraph" w:styleId="2">
    <w:name w:val="heading 2"/>
    <w:basedOn w:val="a"/>
    <w:next w:val="a"/>
    <w:qFormat/>
    <w:rsid w:val="00C56E7F"/>
    <w:pPr>
      <w:keepNext/>
      <w:spacing w:before="120"/>
      <w:outlineLvl w:val="1"/>
    </w:pPr>
    <w:rPr>
      <w:rFonts w:ascii="細明體" w:eastAsia="細明體" w:hAnsi="Arial"/>
      <w:b/>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43995"/>
    <w:pPr>
      <w:tabs>
        <w:tab w:val="center" w:pos="4153"/>
        <w:tab w:val="right" w:pos="8306"/>
      </w:tabs>
      <w:spacing w:line="360" w:lineRule="atLeast"/>
    </w:pPr>
    <w:rPr>
      <w:rFonts w:eastAsia="細明體"/>
      <w:kern w:val="0"/>
      <w:sz w:val="20"/>
    </w:rPr>
  </w:style>
  <w:style w:type="paragraph" w:styleId="a4">
    <w:name w:val="footer"/>
    <w:basedOn w:val="a"/>
    <w:link w:val="a5"/>
    <w:uiPriority w:val="99"/>
    <w:rsid w:val="00443995"/>
    <w:pPr>
      <w:tabs>
        <w:tab w:val="center" w:pos="4153"/>
        <w:tab w:val="right" w:pos="8306"/>
      </w:tabs>
      <w:spacing w:line="360" w:lineRule="atLeast"/>
    </w:pPr>
    <w:rPr>
      <w:rFonts w:eastAsia="細明體"/>
      <w:kern w:val="0"/>
      <w:sz w:val="20"/>
    </w:rPr>
  </w:style>
  <w:style w:type="character" w:styleId="a6">
    <w:name w:val="page number"/>
    <w:basedOn w:val="a0"/>
    <w:rsid w:val="00443995"/>
    <w:rPr>
      <w:rFonts w:ascii="細明體" w:eastAsia="細明體" w:hAnsi="細明體"/>
    </w:rPr>
  </w:style>
  <w:style w:type="paragraph" w:styleId="a7">
    <w:name w:val="Body Text Indent"/>
    <w:basedOn w:val="a"/>
    <w:rsid w:val="00443995"/>
    <w:pPr>
      <w:spacing w:before="120" w:line="320" w:lineRule="atLeast"/>
      <w:ind w:left="567" w:hanging="567"/>
    </w:pPr>
    <w:rPr>
      <w:rFonts w:ascii="細明體" w:eastAsia="細明體"/>
      <w:kern w:val="0"/>
      <w:sz w:val="18"/>
    </w:rPr>
  </w:style>
  <w:style w:type="paragraph" w:styleId="a8">
    <w:name w:val="Block Text"/>
    <w:basedOn w:val="a"/>
    <w:rsid w:val="00443995"/>
    <w:pPr>
      <w:spacing w:line="240" w:lineRule="atLeast"/>
      <w:ind w:left="907" w:right="159" w:hanging="907"/>
      <w:jc w:val="both"/>
    </w:pPr>
    <w:rPr>
      <w:sz w:val="18"/>
    </w:rPr>
  </w:style>
  <w:style w:type="paragraph" w:styleId="20">
    <w:name w:val="Body Text Indent 2"/>
    <w:basedOn w:val="a"/>
    <w:rsid w:val="00443995"/>
    <w:pPr>
      <w:spacing w:line="360" w:lineRule="auto"/>
      <w:ind w:left="454" w:hanging="454"/>
      <w:jc w:val="both"/>
    </w:pPr>
    <w:rPr>
      <w:sz w:val="22"/>
    </w:rPr>
  </w:style>
  <w:style w:type="paragraph" w:styleId="3">
    <w:name w:val="Body Text Indent 3"/>
    <w:basedOn w:val="a"/>
    <w:rsid w:val="00443995"/>
    <w:pPr>
      <w:kinsoku w:val="0"/>
      <w:spacing w:line="240" w:lineRule="atLeast"/>
      <w:ind w:left="1200" w:hanging="1200"/>
      <w:jc w:val="both"/>
    </w:pPr>
  </w:style>
  <w:style w:type="paragraph" w:styleId="a9">
    <w:name w:val="Body Text"/>
    <w:basedOn w:val="a"/>
    <w:rsid w:val="00443995"/>
    <w:pPr>
      <w:jc w:val="distribute"/>
    </w:pPr>
    <w:rPr>
      <w:spacing w:val="-16"/>
    </w:rPr>
  </w:style>
  <w:style w:type="paragraph" w:customStyle="1" w:styleId="1">
    <w:name w:val="1."/>
    <w:basedOn w:val="a"/>
    <w:rsid w:val="00443995"/>
    <w:pPr>
      <w:spacing w:line="320" w:lineRule="exact"/>
      <w:ind w:left="1446" w:hanging="255"/>
      <w:jc w:val="both"/>
    </w:pPr>
    <w:rPr>
      <w:rFonts w:ascii="新細明體"/>
      <w:spacing w:val="6"/>
      <w:sz w:val="22"/>
    </w:rPr>
  </w:style>
  <w:style w:type="paragraph" w:styleId="21">
    <w:name w:val="Body Text 2"/>
    <w:basedOn w:val="a"/>
    <w:rsid w:val="00443995"/>
    <w:pPr>
      <w:jc w:val="center"/>
    </w:pPr>
  </w:style>
  <w:style w:type="table" w:styleId="aa">
    <w:name w:val="Table Grid"/>
    <w:basedOn w:val="a1"/>
    <w:rsid w:val="00F14D8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rsid w:val="002A1DC2"/>
    <w:pPr>
      <w:adjustRightInd/>
      <w:textAlignment w:val="auto"/>
    </w:pPr>
    <w:rPr>
      <w:rFonts w:ascii="細明體" w:eastAsia="細明體" w:hAnsi="Courier New"/>
    </w:rPr>
  </w:style>
  <w:style w:type="character" w:styleId="ac">
    <w:name w:val="annotation reference"/>
    <w:basedOn w:val="a0"/>
    <w:semiHidden/>
    <w:rsid w:val="003B30E7"/>
    <w:rPr>
      <w:sz w:val="18"/>
      <w:szCs w:val="18"/>
    </w:rPr>
  </w:style>
  <w:style w:type="paragraph" w:styleId="ad">
    <w:name w:val="annotation text"/>
    <w:basedOn w:val="a"/>
    <w:semiHidden/>
    <w:rsid w:val="003B30E7"/>
  </w:style>
  <w:style w:type="paragraph" w:styleId="ae">
    <w:name w:val="annotation subject"/>
    <w:basedOn w:val="ad"/>
    <w:next w:val="ad"/>
    <w:semiHidden/>
    <w:rsid w:val="003B30E7"/>
    <w:rPr>
      <w:b/>
      <w:bCs/>
    </w:rPr>
  </w:style>
  <w:style w:type="paragraph" w:styleId="af">
    <w:name w:val="Balloon Text"/>
    <w:basedOn w:val="a"/>
    <w:semiHidden/>
    <w:rsid w:val="003B30E7"/>
    <w:rPr>
      <w:rFonts w:ascii="Arial" w:hAnsi="Arial"/>
      <w:sz w:val="18"/>
      <w:szCs w:val="18"/>
    </w:rPr>
  </w:style>
  <w:style w:type="paragraph" w:customStyle="1" w:styleId="af0">
    <w:name w:val="特殊段落"/>
    <w:basedOn w:val="a"/>
    <w:rsid w:val="004C179E"/>
    <w:pPr>
      <w:kinsoku w:val="0"/>
      <w:overflowPunct w:val="0"/>
      <w:autoSpaceDE w:val="0"/>
      <w:autoSpaceDN w:val="0"/>
      <w:adjustRightInd/>
      <w:jc w:val="both"/>
      <w:textAlignment w:val="auto"/>
    </w:pPr>
    <w:rPr>
      <w:rFonts w:eastAsia="華康細明體"/>
      <w:snapToGrid w:val="0"/>
      <w:szCs w:val="24"/>
    </w:rPr>
  </w:style>
  <w:style w:type="paragraph" w:styleId="af1">
    <w:name w:val="List Paragraph"/>
    <w:basedOn w:val="a"/>
    <w:uiPriority w:val="34"/>
    <w:qFormat/>
    <w:rsid w:val="00485870"/>
    <w:pPr>
      <w:ind w:leftChars="200" w:left="480"/>
    </w:pPr>
  </w:style>
  <w:style w:type="paragraph" w:customStyle="1" w:styleId="af2">
    <w:name w:val="(一)"/>
    <w:basedOn w:val="a"/>
    <w:rsid w:val="008349A1"/>
    <w:pPr>
      <w:adjustRightInd/>
      <w:spacing w:line="340" w:lineRule="exact"/>
      <w:ind w:left="220" w:hangingChars="100" w:hanging="220"/>
      <w:jc w:val="both"/>
      <w:textAlignment w:val="auto"/>
    </w:pPr>
    <w:rPr>
      <w:rFonts w:ascii="標楷體" w:eastAsia="標楷體" w:hAnsi="標楷體"/>
      <w:sz w:val="22"/>
      <w:szCs w:val="22"/>
    </w:rPr>
  </w:style>
  <w:style w:type="character" w:customStyle="1" w:styleId="a5">
    <w:name w:val="頁尾 字元"/>
    <w:basedOn w:val="a0"/>
    <w:link w:val="a4"/>
    <w:uiPriority w:val="99"/>
    <w:rsid w:val="00D31AD1"/>
    <w:rPr>
      <w:rFonts w:eastAsia="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812944">
      <w:bodyDiv w:val="1"/>
      <w:marLeft w:val="0"/>
      <w:marRight w:val="0"/>
      <w:marTop w:val="0"/>
      <w:marBottom w:val="0"/>
      <w:divBdr>
        <w:top w:val="none" w:sz="0" w:space="0" w:color="auto"/>
        <w:left w:val="none" w:sz="0" w:space="0" w:color="auto"/>
        <w:bottom w:val="none" w:sz="0" w:space="0" w:color="auto"/>
        <w:right w:val="none" w:sz="0" w:space="0" w:color="auto"/>
      </w:divBdr>
    </w:div>
    <w:div w:id="2013025235">
      <w:bodyDiv w:val="1"/>
      <w:marLeft w:val="0"/>
      <w:marRight w:val="0"/>
      <w:marTop w:val="0"/>
      <w:marBottom w:val="0"/>
      <w:divBdr>
        <w:top w:val="none" w:sz="0" w:space="0" w:color="auto"/>
        <w:left w:val="none" w:sz="0" w:space="0" w:color="auto"/>
        <w:bottom w:val="none" w:sz="0" w:space="0" w:color="auto"/>
        <w:right w:val="none" w:sz="0" w:space="0" w:color="auto"/>
      </w:divBdr>
      <w:divsChild>
        <w:div w:id="29839013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12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5A092-ABAF-4D0B-886C-E578294EE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170</Words>
  <Characters>975</Characters>
  <Application>Microsoft Office Word</Application>
  <DocSecurity>0</DocSecurity>
  <Lines>8</Lines>
  <Paragraphs>2</Paragraphs>
  <ScaleCrop>false</ScaleCrop>
  <Company>二局</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creator>何桂村</dc:creator>
  <cp:lastModifiedBy>汪怡萍</cp:lastModifiedBy>
  <cp:revision>7</cp:revision>
  <cp:lastPrinted>2020-08-19T04:47:00Z</cp:lastPrinted>
  <dcterms:created xsi:type="dcterms:W3CDTF">2020-08-13T06:28:00Z</dcterms:created>
  <dcterms:modified xsi:type="dcterms:W3CDTF">2020-08-19T04:47:00Z</dcterms:modified>
</cp:coreProperties>
</file>